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法治思维和</w:t>
      </w:r>
      <w:r>
        <w:rPr>
          <w:rFonts w:hint="eastAsia" w:ascii="方正小标宋_GBK" w:hAnsi="方正小标宋_GBK" w:eastAsia="方正小标宋_GBK" w:cs="方正小标宋_GBK"/>
          <w:sz w:val="44"/>
          <w:szCs w:val="44"/>
        </w:rPr>
        <w:t>法治政府建设</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（试题：</w:t>
      </w:r>
      <w:r>
        <w:rPr>
          <w:rFonts w:hint="eastAsia" w:asciiTheme="minorEastAsia" w:hAnsiTheme="minorEastAsia" w:eastAsiaTheme="minorEastAsia" w:cstheme="minorEastAsia"/>
          <w:b/>
          <w:bCs/>
          <w:sz w:val="32"/>
          <w:szCs w:val="32"/>
          <w:lang w:val="en-US" w:eastAsia="zh-CN"/>
        </w:rPr>
        <w:t>36</w:t>
      </w:r>
      <w:r>
        <w:rPr>
          <w:rFonts w:hint="eastAsia" w:asciiTheme="minorEastAsia" w:hAnsiTheme="minorEastAsia" w:eastAsiaTheme="minorEastAsia" w:cstheme="minorEastAsia"/>
          <w:b/>
          <w:bCs/>
          <w:sz w:val="32"/>
          <w:szCs w:val="32"/>
        </w:rPr>
        <w:t>题）</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一、单选题（</w:t>
      </w:r>
      <w:r>
        <w:rPr>
          <w:rFonts w:hint="eastAsia" w:asciiTheme="minorEastAsia" w:hAnsiTheme="minorEastAsia" w:eastAsiaTheme="minorEastAsia" w:cstheme="minorEastAsia"/>
          <w:b/>
          <w:sz w:val="32"/>
          <w:szCs w:val="32"/>
          <w:lang w:val="en-US" w:eastAsia="zh-CN"/>
        </w:rPr>
        <w:t>25</w:t>
      </w:r>
      <w:r>
        <w:rPr>
          <w:rFonts w:hint="eastAsia" w:asciiTheme="minorEastAsia" w:hAnsiTheme="minorEastAsia" w:eastAsiaTheme="minorEastAsia" w:cstheme="minorEastAsia"/>
          <w:b/>
          <w:sz w:val="32"/>
          <w:szCs w:val="32"/>
        </w:rPr>
        <w:t>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中共中央关于全面推进依法治国若干重大问题的决定</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提出到</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C</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年实现“依法治国基本方略全面落实，法治政府基本建成”</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2017</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2018</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2020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2030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2.围绕建设中国特色社会主义法治体系、建设社会主义法治国家的全面推进依法治国总目标，坚持依法治国、（C）、依法行政共同推进。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A.以德治国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B.公正司法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C.依法执政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D.全面守法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3.依法全面履行政府职能的发展理念是（A）。</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A.创新、协调、绿色、开放、共享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B.创新、协调、互助、共赢、共享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C.绿色、协调、开放、共享、互助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D.创新、协调、绿色、高效、开放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4.完善宏观调控要切实转变（B）投资管理职能，确立（ ）投资主体地位。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A.市场、政府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B.政府、企业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C.政府、市场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D.企业、市场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5.提高政府立法公众参与度时除依法需要保密文件的外，法律法规规章草案要通过网络、报纸等媒体向社会公开征求意见，期限一般不少于（C）日。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A.14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B.20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C.30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D.40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6.完善学法制度，国务院各部门、县级以上地方各级政府每年至少举办（C）期领导干部法治专题培训班，地方各级政府领导班子每年应当举办（ ）期以上法治专题讲座。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A.1、1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B.2、1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C.1、2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D.2、2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7.行政监督制度中的专门监督机关是指：（B）</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A.检察、审计等机关</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B.监察、审计等机关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C.监察、法院等机关</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D.检察、法院等机关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8.支持人民法院依法受理行政案件，健全行政机关（A），尊重并执行人民法院生效裁判。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A.依法出庭应诉制度</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B.公益诉讼制度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C.法律顾问应诉制度</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D.行政权豁免制度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9.实行统一的市场准入制度，在制定（B）基础上，各类市场主体可依法平等进人清单之外领域。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A.权力清单</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B.负面清单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C.责任清单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D.职责清单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10.对没有法律法规依据且未按规定批准、越权设立的收费基金项目，政府提供普遍公共服务或体现一般性管理职能的行政事业性收费，没有法定依据的行政审批中 介服务项目及收费，（C</w:t>
      </w:r>
      <w:r>
        <w:rPr>
          <w:rFonts w:hint="eastAsia" w:asciiTheme="minorEastAsia" w:hAnsiTheme="minorEastAsia" w:eastAsiaTheme="minorEastAsia" w:cstheme="minorEastAsia"/>
          <w:sz w:val="32"/>
          <w:szCs w:val="32"/>
          <w:lang w:val="en-US" w:eastAsia="zh-CN"/>
        </w:rPr>
        <w:tab/>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A.逐步取消</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B.经政府常务会研究后部分取消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C.一律取消</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D.基本保留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11.应当加强社会信用体系建设，建立健全（A）的社会信用代码制度和信用信息共享交换平台。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A.全国统一</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B.全区统一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C.国内部分试点城市统一</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D.县级以上部分地区统一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12.推进公共服务提供主体和提供方式多元化，凡属事务性管理服务，原则上都要引人竞争机制向社会购买；确需政府参与的，实行（C）模式。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A.党委、人大、政府和社会资本多方合作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B.社会资本主导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C.政府和社会资本合作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D.政府主导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13.重要行政管理法律法规由（D）组织起草，有效防止部门利益和地方保护主义法律化。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A.政府工作部门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B.人大</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C.党委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D.政府法制机构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14.(D)要履行推进法治建设第一责任人职责，将建设法治政府摆在工作全局的重要位置。</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人大主要负责人</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党支部书记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C.法制工作机构负责人</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D.党政主要负责人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15.建立健全政府购买公共服务制度，公开政府购买（A），加强政府购买公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共服务质量监管。</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公共服务目录</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B.公共服务价格明细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C.承接方的相关信息</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D.全流程的所有信息</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对专业性、技术性较强的决策事项，应当组织（C）进行论证。</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公众</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B.各级政府专业技术人员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C.专家、专业机构</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D.利害关系人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17.要注重通过法治实践提高政府工作人员法治思维和依法行政的能力，这就要求县级以上人民政府举办领导干部法治专题培训班和法治讲座，参加人数需达到（D）。</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A.80%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B.60%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C.70%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D.100%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18.落实（ C ）的普法责任制，建立行政执法人员以案释法制度，使执法人员在执法普法的同时不断提高自身法治素养和依法行政能力。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A.谁立法谁普法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B.政府法制机构牵头，其他机关配合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C.谁执法谁普法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D.司法机关牵头，其他机关配合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19.树立重视法治素养和法治能力的用人导向，抓住（A）这个全面依法治国的“关键少数”。</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领导干部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B.执法人员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C.司法工作人员</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D.纪检监察人员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20.全面推进政务公开。坚持（A）原则，推进决策、执行等公开。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A.以公开为常态、不公开为例外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B.—律公开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C.以不公开为常态、公开为例外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D.集体讨论是否决定公开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21.建立（A）的法律顾问队伍，保证法律顾问在制定重大行政决策、推进依法行政中发挥积极作用。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A.政府法制机构人员为主体、吸收专家和律师参加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B.律师为主体、吸收政府工作人员参加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C.政府法制机构人员为主体、吸收人民陪审员和社区相关人员参加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D.政府法制机构人员为主体、吸收司法机关工作人员参加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22.加强公务员诚信管理，建立公务员（B）档案。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A.履职</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B.诚信</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C.业绩</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D.守法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C</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是国家权力的主体</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政府</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公务人员</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人民群众</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军队</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lang w:val="en-US" w:eastAsia="zh-CN"/>
        </w:rPr>
        <w:t>24.行政法规的立法主体是（B）</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全国人大及其常委会</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国务院</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地方人大及其常委会</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地方人民政府</w:t>
      </w:r>
      <w:r>
        <w:rPr>
          <w:rFonts w:hint="eastAsia" w:asciiTheme="minorEastAsia" w:hAnsiTheme="minorEastAsia" w:eastAsiaTheme="minorEastAsia" w:cstheme="minorEastAsia"/>
          <w:sz w:val="32"/>
          <w:szCs w:val="32"/>
        </w:rPr>
        <w:cr/>
      </w:r>
      <w:r>
        <w:rPr>
          <w:rFonts w:hint="eastAsia" w:asciiTheme="minorEastAsia" w:hAnsiTheme="minorEastAsia" w:eastAsiaTheme="minorEastAsia" w:cstheme="minorEastAsia"/>
          <w:sz w:val="32"/>
          <w:szCs w:val="32"/>
          <w:lang w:val="en-US" w:eastAsia="zh-CN"/>
        </w:rPr>
        <w:t>25.重要行政管理法律法规由（D）组织起草，有效防止部门利益和地方保护主义法律化。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A.政府工作部门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B.人大</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C.党委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D.政府法制机构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二、多选题（</w:t>
      </w:r>
      <w:r>
        <w:rPr>
          <w:rFonts w:hint="eastAsia" w:asciiTheme="minorEastAsia" w:hAnsiTheme="minorEastAsia" w:eastAsiaTheme="minorEastAsia" w:cstheme="minorEastAsia"/>
          <w:b/>
          <w:sz w:val="32"/>
          <w:szCs w:val="32"/>
          <w:lang w:val="en-US" w:eastAsia="zh-CN"/>
        </w:rPr>
        <w:t>6</w:t>
      </w:r>
      <w:r>
        <w:rPr>
          <w:rFonts w:hint="eastAsia" w:asciiTheme="minorEastAsia" w:hAnsiTheme="minorEastAsia" w:eastAsiaTheme="minorEastAsia" w:cstheme="minorEastAsia"/>
          <w:b/>
          <w:sz w:val="32"/>
          <w:szCs w:val="32"/>
        </w:rPr>
        <w:t>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.法治政府建设的指导思想主要包括下列哪些选项（ABCD</w:t>
      </w:r>
      <w:r>
        <w:rPr>
          <w:rFonts w:hint="eastAsia" w:asciiTheme="minorEastAsia" w:hAnsiTheme="minorEastAsia" w:cstheme="minorEastAsia"/>
          <w:sz w:val="32"/>
          <w:szCs w:val="32"/>
          <w:lang w:val="en-US" w:eastAsia="zh-CN"/>
        </w:rPr>
        <w:t>E</w:t>
      </w:r>
      <w:r>
        <w:rPr>
          <w:rFonts w:hint="eastAsia" w:asciiTheme="minorEastAsia" w:hAnsiTheme="minorEastAsia" w:eastAsiaTheme="minorEastAsia" w:cstheme="minorEastAsia"/>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A.马克思列宁主义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B.毛泽东思想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C.邓小平理论、“三个代表”重要思想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D.科学发展观</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E.习近平新时代中国特色社会主义思想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bookmarkStart w:id="0" w:name="_GoBack"/>
      <w:bookmarkEnd w:id="0"/>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.坚持严格规范公正文明执法的措施包括（ABCD）等。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A.改革行政执法体制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B.创新行政执法方式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C.健全行政执法人员管理制度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D.加强行政执法保障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.关于推行行政执法责任制表述正确的有（ABCD）。</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A.要梳理执法依据，分解执法职权，严格确定执法责任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B.要建立健全投诉举报、情况通报等制度，加强执法监督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C.要建立健全常态化的责任追究机制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D.要克服执法工作中的利益驱动，惩治执法腐败现象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val="en-US" w:eastAsia="zh-CN"/>
        </w:rPr>
        <w:t>.对建设法治政府工作不力、问题较多的，要及时约谈、（AB）。</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A.责令整改</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B.通报批评</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C.依法查处</w:t>
      </w:r>
      <w:r>
        <w:rPr>
          <w:rFonts w:hint="eastAsia" w:asciiTheme="minorEastAsia" w:hAnsiTheme="minorEastAsia" w:eastAsiaTheme="minorEastAsia" w:cstheme="minorEastAsia"/>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D.追究责任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lang w:val="en-US" w:eastAsia="zh-CN"/>
        </w:rPr>
        <w:t>.强化生态环境保护，要促进（BCD）的生态文明制度。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A.形成绿水青山就是金山银山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B.绿色发展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C.循环发展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D.低碳发展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6.十九届四中全会提出，坚持和完善中国特色社会主义制度、推进国家治理体系和治理能力现代化的总体目标是，到我们（  ）年时，在各方面制度更加成熟更加定型上取得明显成效；到（  ）年，各方面制度更加完善，基本实现国家治理体系和治理能力现代化。( AD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sz w:val="32"/>
          <w:szCs w:val="32"/>
          <w:lang w:val="en-US" w:eastAsia="zh-CN"/>
        </w:rPr>
        <w:t>中国共产党成立100周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w:t>
      </w:r>
      <w:r>
        <w:rPr>
          <w:rFonts w:hint="eastAsia" w:asciiTheme="minorEastAsia" w:hAnsiTheme="minorEastAsia" w:eastAsiaTheme="minorEastAsia" w:cstheme="minorEastAsia"/>
          <w:sz w:val="32"/>
          <w:szCs w:val="32"/>
          <w:lang w:val="en-US" w:eastAsia="zh-CN"/>
        </w:rPr>
        <w:t>新中国成立80周年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r>
        <w:rPr>
          <w:rFonts w:hint="eastAsia" w:asciiTheme="minorEastAsia" w:hAnsiTheme="minorEastAsia" w:eastAsiaTheme="minorEastAsia" w:cstheme="minorEastAsia"/>
          <w:sz w:val="32"/>
          <w:szCs w:val="32"/>
          <w:lang w:val="en-US" w:eastAsia="zh-CN"/>
        </w:rPr>
        <w:t>2030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D.</w:t>
      </w:r>
      <w:r>
        <w:rPr>
          <w:rFonts w:hint="eastAsia" w:asciiTheme="minorEastAsia" w:hAnsiTheme="minorEastAsia" w:eastAsiaTheme="minorEastAsia" w:cstheme="minorEastAsia"/>
          <w:sz w:val="32"/>
          <w:szCs w:val="32"/>
          <w:lang w:val="en-US" w:eastAsia="zh-CN"/>
        </w:rPr>
        <w:t>2035</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三、判断题（5题）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.法治政府建设的总体目标是，到2020年基本建成职能科学、权责法定、执法严明、公开公正、廉洁高效、守法诚信的法治政府</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.对部门间争议较大的重要立法事项，由部门各自组织专家咨询论证，充分听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取各方意见，协调决定，不能久拖不决。</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.应当全面清理行政审批事项，除了涉及国计民生、国土资源、环境保护等，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取消大部分非行政许可审批事项。</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val="en-US" w:eastAsia="zh-CN"/>
        </w:rPr>
        <w:t>.创新行政执法方式，推广运用说服教育、劝导示范、行政指导、行政奖励等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非强制性执法手段。</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lang w:val="en-US" w:eastAsia="zh-CN"/>
        </w:rPr>
        <w:t>.重大行政决策集体讨论情况和决定要如实记录、完整存档。</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upperLetter"/>
      <w:suff w:val="nothing"/>
      <w:lvlText w:val="%1."/>
      <w:lvlJc w:val="left"/>
    </w:lvl>
  </w:abstractNum>
  <w:abstractNum w:abstractNumId="1">
    <w:nsid w:val="0000003E"/>
    <w:multiLevelType w:val="singleLevel"/>
    <w:tmpl w:val="0000003E"/>
    <w:lvl w:ilvl="0" w:tentative="0">
      <w:start w:val="1"/>
      <w:numFmt w:val="upperLetter"/>
      <w:suff w:val="nothing"/>
      <w:lvlText w:val="%1."/>
      <w:lvlJc w:val="left"/>
    </w:lvl>
  </w:abstractNum>
  <w:abstractNum w:abstractNumId="2">
    <w:nsid w:val="00000042"/>
    <w:multiLevelType w:val="singleLevel"/>
    <w:tmpl w:val="00000042"/>
    <w:lvl w:ilvl="0" w:tentative="0">
      <w:start w:val="1"/>
      <w:numFmt w:val="upperLetter"/>
      <w:suff w:val="nothing"/>
      <w:lvlText w:val="%1."/>
      <w:lvlJc w:val="left"/>
    </w:lvl>
  </w:abstractNum>
  <w:abstractNum w:abstractNumId="3">
    <w:nsid w:val="00000070"/>
    <w:multiLevelType w:val="singleLevel"/>
    <w:tmpl w:val="00000070"/>
    <w:lvl w:ilvl="0" w:tentative="0">
      <w:start w:val="1"/>
      <w:numFmt w:val="upperLetter"/>
      <w:suff w:val="nothing"/>
      <w:lvlText w:val="%1."/>
      <w:lvlJc w:val="left"/>
    </w:lvl>
  </w:abstractNum>
  <w:abstractNum w:abstractNumId="4">
    <w:nsid w:val="00000081"/>
    <w:multiLevelType w:val="singleLevel"/>
    <w:tmpl w:val="00000081"/>
    <w:lvl w:ilvl="0" w:tentative="0">
      <w:start w:val="16"/>
      <w:numFmt w:val="decimal"/>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00184"/>
    <w:rsid w:val="0FE00184"/>
    <w:rsid w:val="20213A60"/>
    <w:rsid w:val="294673CE"/>
    <w:rsid w:val="2A7A2073"/>
    <w:rsid w:val="30CA555D"/>
    <w:rsid w:val="385F647B"/>
    <w:rsid w:val="3B3706D8"/>
    <w:rsid w:val="48C611AA"/>
    <w:rsid w:val="58DD2D83"/>
    <w:rsid w:val="59163661"/>
    <w:rsid w:val="75925DEA"/>
    <w:rsid w:val="7CB3379A"/>
    <w:rsid w:val="7EFE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正文"/>
    <w:basedOn w:val="1"/>
    <w:qFormat/>
    <w:uiPriority w:val="0"/>
    <w:pPr>
      <w:spacing w:line="560" w:lineRule="exact"/>
      <w:ind w:firstLine="880" w:firstLineChars="200"/>
    </w:pPr>
    <w:rPr>
      <w:rFonts w:eastAsia="仿宋" w:asciiTheme="minorAscii" w:hAnsiTheme="minorAscii"/>
      <w:sz w:val="32"/>
    </w:rPr>
  </w:style>
  <w:style w:type="paragraph" w:customStyle="1" w:styleId="5">
    <w:name w:val="公文一级标题"/>
    <w:basedOn w:val="4"/>
    <w:qFormat/>
    <w:uiPriority w:val="0"/>
    <w:rPr>
      <w:rFonts w:eastAsia="黑体"/>
    </w:rPr>
  </w:style>
  <w:style w:type="paragraph" w:customStyle="1" w:styleId="6">
    <w:name w:val="公文二级标题"/>
    <w:basedOn w:val="4"/>
    <w:qFormat/>
    <w:uiPriority w:val="0"/>
    <w:rPr>
      <w:rFonts w:eastAsia="楷体"/>
      <w:b/>
    </w:rPr>
  </w:style>
  <w:style w:type="paragraph" w:customStyle="1" w:styleId="7">
    <w:name w:val="公文大标题"/>
    <w:uiPriority w:val="0"/>
    <w:pPr>
      <w:jc w:val="center"/>
    </w:pPr>
    <w:rPr>
      <w:rFonts w:ascii="Calibri" w:hAnsi="Calibri" w:eastAsia="方正小标宋简体" w:cstheme="minorBidi"/>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2020-12-16T02:45:00Z</dcterms:created>
  <dc:creator>旧.</dc:creator>
  <cp:lastModifiedBy>lenovo</cp:lastModifiedBy>
  <dcterms:modified xsi:type="dcterms:W3CDTF">2022-01-05T00:51:12Z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